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6EB5" w14:textId="77777777" w:rsidR="00614D1D" w:rsidRDefault="00000000">
      <w:pPr>
        <w:spacing w:before="235"/>
        <w:jc w:val="center"/>
        <w:rPr>
          <w:rFonts w:ascii="Verdana" w:hAnsi="Verdana"/>
          <w:sz w:val="21"/>
          <w:highlight w:val="white"/>
        </w:rPr>
      </w:pPr>
      <w:r>
        <w:rPr>
          <w:rFonts w:ascii="Verdana" w:hAnsi="Verdana"/>
          <w:sz w:val="30"/>
          <w:highlight w:val="white"/>
        </w:rPr>
        <w:t>Описание Исследования за 26.11.2024</w:t>
      </w:r>
    </w:p>
    <w:p w14:paraId="78C1D31E" w14:textId="77777777" w:rsidR="00614D1D" w:rsidRDefault="00000000">
      <w:pPr>
        <w:spacing w:before="235" w:after="235"/>
        <w:jc w:val="center"/>
        <w:rPr>
          <w:sz w:val="28"/>
          <w:highlight w:val="white"/>
        </w:rPr>
      </w:pPr>
      <w:r>
        <w:br/>
      </w:r>
    </w:p>
    <w:p w14:paraId="3ECD1D09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Была проведена аксиальная мультидетекторная компьютерная томография грудной и брюшной полости пациента в мягкотканном окне с применением контрастного вещества омнипак в двух фазах.</w:t>
      </w:r>
    </w:p>
    <w:p w14:paraId="5DDFB4EA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– В грудной полости дополнительных объемных образований не выявлено, размер внутригрудных лимфатических узлов не увеличен. В плевральной полости дополнительного содержимого не выявлено.</w:t>
      </w:r>
    </w:p>
    <w:p w14:paraId="6A2C5C42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– Краниомедиальная доля левого легкого полностью представлена образованием с четкой границей, слабо накапливающим контрастный агент по периферии, в центре новообразования имеются очаги некроза (кисты). Новообразование плотно прилежит к органам средостения и дуге аорты, признаков инвазирования не отмечается.</w:t>
      </w:r>
    </w:p>
    <w:p w14:paraId="42DC355B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В остальных долях легких патологических изменений не отмечается.</w:t>
      </w:r>
    </w:p>
    <w:p w14:paraId="14F7B4AF" w14:textId="77777777" w:rsidR="00614D1D" w:rsidRDefault="00000000">
      <w:pPr>
        <w:spacing w:before="269" w:after="269"/>
        <w:rPr>
          <w:sz w:val="28"/>
        </w:rPr>
      </w:pPr>
      <w:r>
        <w:rPr>
          <w:noProof/>
          <w:sz w:val="28"/>
        </w:rPr>
        <w:drawing>
          <wp:inline distT="0" distB="0" distL="0" distR="0" wp14:anchorId="7D675C8B" wp14:editId="01562D85">
            <wp:extent cx="5940425" cy="316574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940425" cy="316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- Сосудистых аномалий брюшной полости не выявлено, контрастное усиление печени соответствует фазам выведения контрастного агента.</w:t>
      </w:r>
    </w:p>
    <w:p w14:paraId="7DDB6221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- Почки не увеличены, кортикомедулярная дифференциация почек не нарушена, выведение контрастного агента соответствует фазам.</w:t>
      </w:r>
    </w:p>
    <w:p w14:paraId="645093E8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– Мочевой пузырь умеренно наполнен, стенка его не утолщена, дополнительного содержимого (конкрементов) не имеет. </w:t>
      </w:r>
    </w:p>
    <w:p w14:paraId="0247184E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lastRenderedPageBreak/>
        <w:t>- Желудок и просвет кишечника умеренно заполнены химусом и свободным газом.</w:t>
      </w:r>
    </w:p>
    <w:p w14:paraId="7C7C26D3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- Селезенка имеет нормальный размер и расположение, ее паренхима не имеет гиперденсивных включений, край острый.</w:t>
      </w:r>
    </w:p>
    <w:p w14:paraId="41EA593A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– Надпочечники имеют нормальное строение и размер.</w:t>
      </w:r>
    </w:p>
    <w:p w14:paraId="566DD81E" w14:textId="77777777" w:rsidR="00614D1D" w:rsidRDefault="00614D1D">
      <w:pPr>
        <w:spacing w:before="269" w:after="269"/>
        <w:rPr>
          <w:sz w:val="28"/>
        </w:rPr>
      </w:pPr>
    </w:p>
    <w:p w14:paraId="4F08CCC4" w14:textId="77777777" w:rsidR="00614D1D" w:rsidRDefault="00000000">
      <w:pPr>
        <w:spacing w:before="269" w:after="269"/>
        <w:rPr>
          <w:sz w:val="28"/>
        </w:rPr>
      </w:pPr>
      <w:r>
        <w:rPr>
          <w:b/>
          <w:sz w:val="28"/>
        </w:rPr>
        <w:t>Заключение</w:t>
      </w:r>
      <w:r>
        <w:rPr>
          <w:sz w:val="28"/>
        </w:rPr>
        <w:t>: Кт признаки характерные для новообразования левой краниомедиальной доли легких, без признаков инвазии в окружающие ткани.</w:t>
      </w:r>
    </w:p>
    <w:p w14:paraId="1FA45B30" w14:textId="77777777" w:rsidR="00614D1D" w:rsidRDefault="00000000">
      <w:pPr>
        <w:spacing w:before="269" w:after="269"/>
        <w:rPr>
          <w:sz w:val="28"/>
        </w:rPr>
      </w:pPr>
      <w:r>
        <w:rPr>
          <w:sz w:val="28"/>
        </w:rPr>
        <w:t>Заключение врача кт диагности не является окончательным диагнозом и требует анализа врача клинической специальности. </w:t>
      </w:r>
    </w:p>
    <w:p w14:paraId="7F4B0E0F" w14:textId="77777777" w:rsidR="00614D1D" w:rsidRDefault="00614D1D">
      <w:pPr>
        <w:rPr>
          <w:sz w:val="28"/>
        </w:rPr>
      </w:pPr>
    </w:p>
    <w:sectPr w:rsidR="00614D1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1D"/>
    <w:rsid w:val="00614D1D"/>
    <w:rsid w:val="0081130E"/>
    <w:rsid w:val="009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988C"/>
  <w15:docId w15:val="{828E5E39-D977-4D28-993E-CD9C80F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"/>
    <w:basedOn w:val="a5"/>
    <w:link w:val="a6"/>
  </w:style>
  <w:style w:type="character" w:customStyle="1" w:styleId="a6">
    <w:name w:val="Список Знак"/>
    <w:basedOn w:val="a7"/>
    <w:link w:val="a4"/>
    <w:rPr>
      <w:rFonts w:ascii="Times New Roman" w:hAnsi="Times New Roman"/>
      <w:color w:val="000000"/>
      <w:sz w:val="24"/>
    </w:rPr>
  </w:style>
  <w:style w:type="paragraph" w:styleId="a8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8"/>
    <w:rPr>
      <w:rFonts w:ascii="Tahoma" w:hAnsi="Tahoma"/>
      <w:color w:val="000000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9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15">
    <w:name w:val="Основной шрифт абзаца1"/>
    <w:link w:val="WW8Num2z5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Title"/>
    <w:next w:val="a5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rFonts w:ascii="Arial" w:hAnsi="Arial"/>
      <w:color w:val="000000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17">
    <w:name w:val="Гиперссылка1"/>
    <w:link w:val="ac"/>
    <w:rPr>
      <w:color w:val="0563C1"/>
      <w:u w:val="single"/>
    </w:rPr>
  </w:style>
  <w:style w:type="character" w:styleId="ac">
    <w:name w:val="Hyperlink"/>
    <w:link w:val="17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i/>
      <w:color w:val="000000"/>
      <w:sz w:val="24"/>
    </w:rPr>
  </w:style>
  <w:style w:type="paragraph" w:styleId="a5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Нижний колонтитул Знак"/>
    <w:link w:val="af2"/>
    <w:rPr>
      <w:sz w:val="24"/>
    </w:rPr>
  </w:style>
  <w:style w:type="character" w:customStyle="1" w:styleId="af2">
    <w:name w:val="Нижний колонтитул Знак"/>
    <w:link w:val="af1"/>
    <w:rPr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23">
    <w:name w:val="Основной шрифт абзаца2"/>
    <w:link w:val="WW8Num2z8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PegasVet</dc:creator>
  <cp:lastModifiedBy>PegasVet</cp:lastModifiedBy>
  <cp:revision>2</cp:revision>
  <dcterms:created xsi:type="dcterms:W3CDTF">2024-11-30T06:35:00Z</dcterms:created>
  <dcterms:modified xsi:type="dcterms:W3CDTF">2024-11-30T06:35:00Z</dcterms:modified>
</cp:coreProperties>
</file>